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86F9" w14:textId="77777777" w:rsidR="00275E39" w:rsidRDefault="0030204A">
      <w:pPr>
        <w:pStyle w:val="BodyText"/>
        <w:kinsoku w:val="0"/>
        <w:overflowPunct w:val="0"/>
        <w:ind w:left="1619"/>
        <w:rPr>
          <w:rFonts w:ascii="Times New Roman" w:hAnsi="Times New Roman" w:cs="Times New Roman"/>
          <w:sz w:val="20"/>
          <w:szCs w:val="20"/>
        </w:rPr>
      </w:pPr>
      <w:r>
        <w:rPr>
          <w:rFonts w:ascii="Times New Roman" w:hAnsi="Times New Roman" w:cs="Times New Roman"/>
          <w:sz w:val="20"/>
          <w:szCs w:val="20"/>
        </w:rPr>
        <w:pict w14:anchorId="3AC5E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58.5pt">
            <v:imagedata r:id="rId6" o:title=""/>
          </v:shape>
        </w:pict>
      </w:r>
    </w:p>
    <w:p w14:paraId="08BFAC77" w14:textId="77777777" w:rsidR="00275E39" w:rsidRDefault="00275E39">
      <w:pPr>
        <w:pStyle w:val="BodyText"/>
        <w:kinsoku w:val="0"/>
        <w:overflowPunct w:val="0"/>
        <w:spacing w:before="3"/>
        <w:rPr>
          <w:rFonts w:ascii="Times New Roman" w:hAnsi="Times New Roman" w:cs="Times New Roman"/>
          <w:sz w:val="25"/>
          <w:szCs w:val="25"/>
        </w:rPr>
      </w:pPr>
    </w:p>
    <w:p w14:paraId="3C4818F0" w14:textId="77777777" w:rsidR="00275E39" w:rsidRDefault="00275E39">
      <w:pPr>
        <w:pStyle w:val="BodyText"/>
        <w:kinsoku w:val="0"/>
        <w:overflowPunct w:val="0"/>
        <w:spacing w:before="90"/>
        <w:ind w:left="3987"/>
        <w:rPr>
          <w:b/>
          <w:bCs/>
          <w:color w:val="231F20"/>
          <w:sz w:val="32"/>
          <w:szCs w:val="32"/>
        </w:rPr>
      </w:pPr>
      <w:r>
        <w:rPr>
          <w:b/>
          <w:bCs/>
          <w:color w:val="231F20"/>
          <w:sz w:val="32"/>
          <w:szCs w:val="32"/>
        </w:rPr>
        <w:t>INFORMATION BULLETIN</w:t>
      </w:r>
    </w:p>
    <w:p w14:paraId="34F18282" w14:textId="77777777" w:rsidR="00275E39" w:rsidRDefault="00275E39">
      <w:pPr>
        <w:pStyle w:val="BodyText"/>
        <w:kinsoku w:val="0"/>
        <w:overflowPunct w:val="0"/>
        <w:spacing w:before="11"/>
        <w:rPr>
          <w:b/>
          <w:bCs/>
          <w:sz w:val="13"/>
          <w:szCs w:val="13"/>
        </w:rPr>
      </w:pPr>
    </w:p>
    <w:p w14:paraId="30288E78" w14:textId="77777777" w:rsidR="00275E39" w:rsidRDefault="00275E39">
      <w:pPr>
        <w:pStyle w:val="BodyText"/>
        <w:kinsoku w:val="0"/>
        <w:overflowPunct w:val="0"/>
        <w:spacing w:before="11"/>
        <w:rPr>
          <w:b/>
          <w:bCs/>
          <w:sz w:val="13"/>
          <w:szCs w:val="13"/>
        </w:rPr>
        <w:sectPr w:rsidR="00275E39">
          <w:headerReference w:type="even" r:id="rId7"/>
          <w:headerReference w:type="default" r:id="rId8"/>
          <w:footerReference w:type="even" r:id="rId9"/>
          <w:footerReference w:type="default" r:id="rId10"/>
          <w:headerReference w:type="first" r:id="rId11"/>
          <w:footerReference w:type="first" r:id="rId12"/>
          <w:type w:val="continuous"/>
          <w:pgSz w:w="11910" w:h="16840"/>
          <w:pgMar w:top="900" w:right="1680" w:bottom="280" w:left="0" w:header="720" w:footer="720" w:gutter="0"/>
          <w:cols w:space="720"/>
          <w:noEndnote/>
        </w:sectPr>
      </w:pPr>
    </w:p>
    <w:p w14:paraId="59D0A278" w14:textId="05C56116" w:rsidR="00DE1F2F" w:rsidRDefault="00DE1F2F" w:rsidP="00DE1F2F">
      <w:pPr>
        <w:widowControl/>
        <w:ind w:left="2552"/>
        <w:jc w:val="center"/>
        <w:rPr>
          <w:rFonts w:ascii="CIDFont+F6" w:hAnsi="CIDFont+F6" w:cs="CIDFont+F6"/>
          <w:b/>
          <w:bCs/>
          <w:color w:val="FF0000"/>
          <w:sz w:val="34"/>
          <w:szCs w:val="34"/>
        </w:rPr>
      </w:pPr>
      <w:r w:rsidRPr="00DE1F2F">
        <w:rPr>
          <w:rFonts w:ascii="CIDFont+F5" w:hAnsi="CIDFont+F5" w:cs="CIDFont+F5"/>
          <w:b/>
          <w:bCs/>
          <w:color w:val="FF0000"/>
          <w:sz w:val="34"/>
          <w:szCs w:val="34"/>
        </w:rPr>
        <w:t xml:space="preserve">Note: </w:t>
      </w:r>
      <w:r w:rsidRPr="00DE1F2F">
        <w:rPr>
          <w:rFonts w:ascii="CIDFont+F6" w:hAnsi="CIDFont+F6" w:cs="CIDFont+F6"/>
          <w:b/>
          <w:bCs/>
          <w:color w:val="FF0000"/>
          <w:sz w:val="34"/>
          <w:szCs w:val="34"/>
        </w:rPr>
        <w:t xml:space="preserve">This </w:t>
      </w:r>
      <w:r w:rsidR="0030204A">
        <w:rPr>
          <w:rFonts w:ascii="CIDFont+F6" w:hAnsi="CIDFont+F6" w:cs="CIDFont+F6"/>
          <w:b/>
          <w:bCs/>
          <w:color w:val="FF0000"/>
          <w:sz w:val="34"/>
          <w:szCs w:val="34"/>
        </w:rPr>
        <w:t>I</w:t>
      </w:r>
      <w:r w:rsidRPr="00DE1F2F">
        <w:rPr>
          <w:rFonts w:ascii="CIDFont+F6" w:hAnsi="CIDFont+F6" w:cs="CIDFont+F6"/>
          <w:b/>
          <w:bCs/>
          <w:color w:val="FF0000"/>
          <w:sz w:val="34"/>
          <w:szCs w:val="34"/>
        </w:rPr>
        <w:t>nformation Bulletin was revoked on 5 June 2024</w:t>
      </w:r>
      <w:r>
        <w:rPr>
          <w:rFonts w:ascii="CIDFont+F6" w:hAnsi="CIDFont+F6" w:cs="CIDFont+F6"/>
          <w:b/>
          <w:bCs/>
          <w:color w:val="FF0000"/>
          <w:sz w:val="34"/>
          <w:szCs w:val="34"/>
        </w:rPr>
        <w:t xml:space="preserve"> </w:t>
      </w:r>
    </w:p>
    <w:p w14:paraId="1EEE51E2" w14:textId="58A55592" w:rsidR="00275E39" w:rsidRPr="00DE1F2F" w:rsidRDefault="00DE1F2F" w:rsidP="00DE1F2F">
      <w:pPr>
        <w:widowControl/>
        <w:ind w:left="2552"/>
        <w:jc w:val="center"/>
        <w:rPr>
          <w:b/>
          <w:bCs/>
          <w:sz w:val="30"/>
          <w:szCs w:val="30"/>
        </w:rPr>
      </w:pPr>
      <w:r w:rsidRPr="00DE1F2F">
        <w:rPr>
          <w:rFonts w:ascii="CIDFont+F6" w:hAnsi="CIDFont+F6" w:cs="CIDFont+F6"/>
          <w:b/>
          <w:bCs/>
          <w:color w:val="FF0000"/>
          <w:sz w:val="34"/>
          <w:szCs w:val="34"/>
        </w:rPr>
        <w:t>and is no longer in force.</w:t>
      </w:r>
    </w:p>
    <w:p w14:paraId="37C81F19" w14:textId="77777777" w:rsidR="00275E39" w:rsidRDefault="00275E39">
      <w:pPr>
        <w:pStyle w:val="BodyText"/>
        <w:kinsoku w:val="0"/>
        <w:overflowPunct w:val="0"/>
        <w:spacing w:before="253"/>
        <w:ind w:left="3640"/>
        <w:rPr>
          <w:b/>
          <w:bCs/>
          <w:color w:val="231F20"/>
          <w:sz w:val="28"/>
          <w:szCs w:val="28"/>
        </w:rPr>
      </w:pPr>
      <w:r>
        <w:rPr>
          <w:b/>
          <w:bCs/>
          <w:color w:val="231F20"/>
          <w:sz w:val="28"/>
          <w:szCs w:val="28"/>
        </w:rPr>
        <w:t>Power Supply Unit / Charger (PSU)</w:t>
      </w:r>
    </w:p>
    <w:p w14:paraId="135DCD50" w14:textId="77777777" w:rsidR="00275E39" w:rsidRDefault="00275E39">
      <w:pPr>
        <w:pStyle w:val="Heading1"/>
        <w:kinsoku w:val="0"/>
        <w:overflowPunct w:val="0"/>
        <w:spacing w:before="93"/>
        <w:rPr>
          <w:color w:val="231F20"/>
        </w:rPr>
      </w:pPr>
      <w:r>
        <w:rPr>
          <w:rFonts w:ascii="Times New Roman" w:hAnsi="Times New Roman" w:cs="Times New Roman"/>
          <w:b w:val="0"/>
          <w:bCs w:val="0"/>
          <w:sz w:val="24"/>
          <w:szCs w:val="24"/>
        </w:rPr>
        <w:br w:type="column"/>
      </w:r>
      <w:r>
        <w:rPr>
          <w:color w:val="231F20"/>
        </w:rPr>
        <w:t>May 2018</w:t>
      </w:r>
    </w:p>
    <w:p w14:paraId="109A37A1" w14:textId="77777777" w:rsidR="00275E39" w:rsidRDefault="00275E39">
      <w:pPr>
        <w:pStyle w:val="BodyText"/>
        <w:kinsoku w:val="0"/>
        <w:overflowPunct w:val="0"/>
        <w:spacing w:line="252" w:lineRule="exact"/>
        <w:ind w:right="119"/>
        <w:jc w:val="right"/>
        <w:rPr>
          <w:b/>
          <w:bCs/>
          <w:color w:val="231F20"/>
          <w:w w:val="95"/>
        </w:rPr>
      </w:pPr>
      <w:r>
        <w:rPr>
          <w:b/>
          <w:bCs/>
          <w:color w:val="231F20"/>
          <w:w w:val="95"/>
        </w:rPr>
        <w:t>#021</w:t>
      </w:r>
    </w:p>
    <w:p w14:paraId="0754CC7F" w14:textId="77777777" w:rsidR="00275E39" w:rsidRDefault="00275E39">
      <w:pPr>
        <w:pStyle w:val="BodyText"/>
        <w:kinsoku w:val="0"/>
        <w:overflowPunct w:val="0"/>
        <w:spacing w:line="252" w:lineRule="exact"/>
        <w:ind w:right="119"/>
        <w:jc w:val="right"/>
        <w:rPr>
          <w:b/>
          <w:bCs/>
          <w:color w:val="231F20"/>
          <w:w w:val="95"/>
        </w:rPr>
        <w:sectPr w:rsidR="00275E39">
          <w:type w:val="continuous"/>
          <w:pgSz w:w="11910" w:h="16840"/>
          <w:pgMar w:top="900" w:right="1680" w:bottom="280" w:left="0" w:header="720" w:footer="720" w:gutter="0"/>
          <w:cols w:num="2" w:space="720" w:equalWidth="0">
            <w:col w:w="8263" w:space="40"/>
            <w:col w:w="1927"/>
          </w:cols>
          <w:noEndnote/>
        </w:sectPr>
      </w:pPr>
    </w:p>
    <w:p w14:paraId="5B35CFAB" w14:textId="15EFC889" w:rsidR="00275E39" w:rsidRDefault="00275E39">
      <w:pPr>
        <w:pStyle w:val="BodyText"/>
        <w:kinsoku w:val="0"/>
        <w:overflowPunct w:val="0"/>
        <w:spacing w:before="10"/>
        <w:rPr>
          <w:b/>
          <w:bCs/>
          <w:sz w:val="13"/>
          <w:szCs w:val="13"/>
        </w:rPr>
      </w:pPr>
    </w:p>
    <w:p w14:paraId="3A6CC16B" w14:textId="77777777" w:rsidR="00275E39" w:rsidRDefault="00275E39">
      <w:pPr>
        <w:pStyle w:val="BodyText"/>
        <w:kinsoku w:val="0"/>
        <w:overflowPunct w:val="0"/>
        <w:spacing w:before="93"/>
        <w:ind w:left="1799" w:right="217"/>
        <w:rPr>
          <w:color w:val="231F20"/>
        </w:rPr>
      </w:pPr>
      <w:r>
        <w:rPr>
          <w:color w:val="231F20"/>
        </w:rPr>
        <w:t>There have been a number of reported electric shock incidents from PSUs that have integral pins. The electric shocks have occurred when part of the enclosure has become detached.</w:t>
      </w:r>
    </w:p>
    <w:p w14:paraId="7944E7BB" w14:textId="77777777" w:rsidR="00275E39" w:rsidRDefault="00275E39">
      <w:pPr>
        <w:pStyle w:val="BodyText"/>
        <w:kinsoku w:val="0"/>
        <w:overflowPunct w:val="0"/>
        <w:spacing w:before="120"/>
        <w:ind w:left="1799" w:right="328"/>
        <w:rPr>
          <w:color w:val="231F20"/>
        </w:rPr>
      </w:pPr>
      <w:r>
        <w:rPr>
          <w:color w:val="231F20"/>
        </w:rPr>
        <w:t>Incidents include situations where ultrasonic welds, securing screws and clips used as the only securing method have failed, resulting in the users receiving electric shock due to access to live parts.</w:t>
      </w:r>
    </w:p>
    <w:p w14:paraId="637AE42C" w14:textId="77777777" w:rsidR="00275E39" w:rsidRDefault="00275E39">
      <w:pPr>
        <w:pStyle w:val="BodyText"/>
        <w:kinsoku w:val="0"/>
        <w:overflowPunct w:val="0"/>
        <w:spacing w:before="119"/>
        <w:ind w:left="1799" w:right="123"/>
        <w:rPr>
          <w:color w:val="231F20"/>
        </w:rPr>
      </w:pPr>
      <w:r>
        <w:rPr>
          <w:color w:val="231F20"/>
        </w:rPr>
        <w:t>A number of safety standards address this issue by requiring two independent means of attachment to ensure that the enclosure is securely fixed, for example clause 19.14 in AS/NZS</w:t>
      </w:r>
      <w:r>
        <w:rPr>
          <w:color w:val="231F20"/>
          <w:spacing w:val="-7"/>
        </w:rPr>
        <w:t xml:space="preserve"> </w:t>
      </w:r>
      <w:r>
        <w:rPr>
          <w:color w:val="231F20"/>
        </w:rPr>
        <w:t>61558.1:2018.</w:t>
      </w:r>
    </w:p>
    <w:p w14:paraId="7C9053E8" w14:textId="77777777" w:rsidR="00275E39" w:rsidRDefault="00275E39">
      <w:pPr>
        <w:pStyle w:val="BodyText"/>
        <w:kinsoku w:val="0"/>
        <w:overflowPunct w:val="0"/>
        <w:spacing w:before="120"/>
        <w:ind w:left="1799" w:right="816"/>
        <w:rPr>
          <w:color w:val="231F20"/>
        </w:rPr>
      </w:pPr>
      <w:r>
        <w:rPr>
          <w:color w:val="231F20"/>
        </w:rPr>
        <w:t>In some cases there has been confusion as to how the effectiveness of each independent means of securement is to be assessed. This information bulletin intends to provide guidance on the assessment of the effectiveness of each independent means of securement.</w:t>
      </w:r>
    </w:p>
    <w:p w14:paraId="47EFE903" w14:textId="77777777" w:rsidR="00275E39" w:rsidRDefault="00275E39">
      <w:pPr>
        <w:pStyle w:val="BodyText"/>
        <w:kinsoku w:val="0"/>
        <w:overflowPunct w:val="0"/>
        <w:spacing w:before="120"/>
        <w:ind w:left="1799" w:right="560"/>
        <w:rPr>
          <w:color w:val="231F20"/>
        </w:rPr>
      </w:pPr>
      <w:r>
        <w:rPr>
          <w:color w:val="231F20"/>
        </w:rPr>
        <w:t>PSU covers providing protection against electric shock that require two means of attachment should comply by the following test:</w:t>
      </w:r>
    </w:p>
    <w:p w14:paraId="59CAEA23" w14:textId="0809AAC9" w:rsidR="00275E39" w:rsidRDefault="00DE1F2F" w:rsidP="00DE1F2F">
      <w:pPr>
        <w:pStyle w:val="BodyText"/>
        <w:tabs>
          <w:tab w:val="left" w:pos="6480"/>
        </w:tabs>
        <w:kinsoku w:val="0"/>
        <w:overflowPunct w:val="0"/>
        <w:rPr>
          <w:sz w:val="24"/>
          <w:szCs w:val="24"/>
        </w:rPr>
      </w:pPr>
      <w:r>
        <w:rPr>
          <w:sz w:val="24"/>
          <w:szCs w:val="24"/>
        </w:rPr>
        <w:tab/>
      </w:r>
    </w:p>
    <w:p w14:paraId="58851695" w14:textId="77777777" w:rsidR="00275E39" w:rsidRDefault="00275E39">
      <w:pPr>
        <w:pStyle w:val="BodyText"/>
        <w:kinsoku w:val="0"/>
        <w:overflowPunct w:val="0"/>
        <w:spacing w:before="9"/>
        <w:rPr>
          <w:sz w:val="18"/>
          <w:szCs w:val="18"/>
        </w:rPr>
      </w:pPr>
    </w:p>
    <w:p w14:paraId="04C0321E" w14:textId="77777777" w:rsidR="00275E39" w:rsidRDefault="00275E39">
      <w:pPr>
        <w:pStyle w:val="BodyText"/>
        <w:kinsoku w:val="0"/>
        <w:overflowPunct w:val="0"/>
        <w:ind w:left="2519" w:right="174"/>
        <w:jc w:val="both"/>
        <w:rPr>
          <w:color w:val="231F20"/>
        </w:rPr>
      </w:pPr>
      <w:r>
        <w:rPr>
          <w:color w:val="231F20"/>
        </w:rPr>
        <w:t>One of the independent means of fixing shall be released or disabled and the test specified in clause 22.11 of AS/NZS 60335.1 is then applied to the cover. The cover shall not become detached.</w:t>
      </w:r>
    </w:p>
    <w:p w14:paraId="5C4F5029" w14:textId="77777777" w:rsidR="00275E39" w:rsidRDefault="00275E39">
      <w:pPr>
        <w:pStyle w:val="BodyText"/>
        <w:kinsoku w:val="0"/>
        <w:overflowPunct w:val="0"/>
        <w:spacing w:before="120"/>
        <w:ind w:left="2519" w:right="108"/>
        <w:rPr>
          <w:color w:val="231F20"/>
        </w:rPr>
      </w:pPr>
      <w:r>
        <w:rPr>
          <w:color w:val="231F20"/>
        </w:rPr>
        <w:t>The released independent means of fixing is then re-applied or another sample selected if this is not possible. The other independent means of fixing shall be released or disabled and the test specified in clause 22.11 of AS/NZS 60335.1 is then applied to the cover. The cover shall not become detached.</w:t>
      </w:r>
    </w:p>
    <w:p w14:paraId="734A80F6" w14:textId="65C66B27" w:rsidR="00275E39" w:rsidRDefault="00275E39" w:rsidP="00DE1F2F">
      <w:pPr>
        <w:pStyle w:val="BodyText"/>
        <w:kinsoku w:val="0"/>
        <w:overflowPunct w:val="0"/>
        <w:spacing w:before="120"/>
        <w:ind w:left="2519" w:right="120"/>
        <w:jc w:val="both"/>
        <w:rPr>
          <w:sz w:val="20"/>
          <w:szCs w:val="20"/>
        </w:rPr>
      </w:pPr>
      <w:r>
        <w:rPr>
          <w:color w:val="231F20"/>
        </w:rPr>
        <w:t>If the cover is fixed using multiple screws they are collectively considered to provide a single independent means of fixing and so are jointly tested as specified above.</w:t>
      </w:r>
    </w:p>
    <w:p w14:paraId="0C42625E" w14:textId="77777777" w:rsidR="00275E39" w:rsidRDefault="00275E39">
      <w:pPr>
        <w:pStyle w:val="BodyText"/>
        <w:kinsoku w:val="0"/>
        <w:overflowPunct w:val="0"/>
        <w:rPr>
          <w:sz w:val="20"/>
          <w:szCs w:val="20"/>
        </w:rPr>
      </w:pPr>
    </w:p>
    <w:p w14:paraId="69C47382" w14:textId="77777777" w:rsidR="00275E39" w:rsidRDefault="00275E39">
      <w:pPr>
        <w:pStyle w:val="BodyText"/>
        <w:kinsoku w:val="0"/>
        <w:overflowPunct w:val="0"/>
        <w:rPr>
          <w:sz w:val="20"/>
          <w:szCs w:val="20"/>
        </w:rPr>
      </w:pPr>
    </w:p>
    <w:p w14:paraId="30902762" w14:textId="77777777" w:rsidR="00275E39" w:rsidRDefault="00275E39">
      <w:pPr>
        <w:pStyle w:val="BodyText"/>
        <w:kinsoku w:val="0"/>
        <w:overflowPunct w:val="0"/>
        <w:spacing w:before="2"/>
        <w:rPr>
          <w:sz w:val="23"/>
          <w:szCs w:val="23"/>
        </w:rPr>
      </w:pPr>
    </w:p>
    <w:p w14:paraId="25439652" w14:textId="77777777" w:rsidR="00275E39" w:rsidRDefault="00275E39">
      <w:pPr>
        <w:pStyle w:val="BodyText"/>
        <w:kinsoku w:val="0"/>
        <w:overflowPunct w:val="0"/>
        <w:ind w:left="1799"/>
        <w:rPr>
          <w:rFonts w:ascii="Times New Roman" w:hAnsi="Times New Roman" w:cs="Times New Roman"/>
          <w:color w:val="231F20"/>
          <w:sz w:val="20"/>
          <w:szCs w:val="20"/>
        </w:rPr>
      </w:pPr>
      <w:r>
        <w:rPr>
          <w:rFonts w:ascii="Times New Roman" w:hAnsi="Times New Roman" w:cs="Times New Roman"/>
          <w:color w:val="231F20"/>
          <w:sz w:val="20"/>
          <w:szCs w:val="20"/>
        </w:rPr>
        <w:t>Version 1.0</w:t>
      </w:r>
    </w:p>
    <w:p w14:paraId="2CEA98B7" w14:textId="77777777" w:rsidR="00275E39" w:rsidRDefault="00275E39">
      <w:pPr>
        <w:pStyle w:val="BodyText"/>
        <w:kinsoku w:val="0"/>
        <w:overflowPunct w:val="0"/>
        <w:spacing w:line="256" w:lineRule="auto"/>
        <w:ind w:left="1799" w:right="146"/>
        <w:rPr>
          <w:rFonts w:ascii="Calibri" w:hAnsi="Calibri" w:cs="Calibri"/>
          <w:color w:val="231F20"/>
          <w:sz w:val="18"/>
          <w:szCs w:val="18"/>
        </w:rPr>
      </w:pPr>
      <w:r>
        <w:rPr>
          <w:rFonts w:ascii="Calibri" w:hAnsi="Calibri" w:cs="Calibri"/>
          <w:color w:val="231F20"/>
          <w:sz w:val="18"/>
          <w:szCs w:val="18"/>
        </w:rPr>
        <w:t xml:space="preserve">Information contained in this bulletin is supplied to give guidance on application of requirements in the following jurisdictions: </w:t>
      </w:r>
      <w:r>
        <w:rPr>
          <w:rFonts w:ascii="Calibri" w:hAnsi="Calibri" w:cs="Calibri"/>
          <w:color w:val="231F20"/>
          <w:sz w:val="18"/>
          <w:szCs w:val="18"/>
          <w:u w:val="single"/>
        </w:rPr>
        <w:t>Australian Capital Territory, New Zealand, Northern Territory, Queensland, South Australia, Tasmania, Victoria and Western Australia.</w:t>
      </w:r>
    </w:p>
    <w:p w14:paraId="3EF15E8D" w14:textId="77777777" w:rsidR="00275E39" w:rsidRDefault="00275E39">
      <w:pPr>
        <w:pStyle w:val="BodyText"/>
        <w:kinsoku w:val="0"/>
        <w:overflowPunct w:val="0"/>
        <w:rPr>
          <w:rFonts w:ascii="Calibri" w:hAnsi="Calibri" w:cs="Calibri"/>
          <w:sz w:val="20"/>
          <w:szCs w:val="20"/>
        </w:rPr>
      </w:pPr>
    </w:p>
    <w:p w14:paraId="4CC5184B" w14:textId="77777777" w:rsidR="00275E39" w:rsidRDefault="00275E39">
      <w:pPr>
        <w:pStyle w:val="BodyText"/>
        <w:kinsoku w:val="0"/>
        <w:overflowPunct w:val="0"/>
        <w:spacing w:before="3"/>
        <w:rPr>
          <w:rFonts w:ascii="Calibri" w:hAnsi="Calibri" w:cs="Calibri"/>
          <w:sz w:val="18"/>
          <w:szCs w:val="18"/>
        </w:rPr>
      </w:pPr>
    </w:p>
    <w:p w14:paraId="4041E39E" w14:textId="77777777" w:rsidR="00275E39" w:rsidRDefault="00275E39">
      <w:pPr>
        <w:pStyle w:val="BodyText"/>
        <w:kinsoku w:val="0"/>
        <w:overflowPunct w:val="0"/>
        <w:spacing w:before="1" w:line="254" w:lineRule="auto"/>
        <w:ind w:left="1799" w:right="656" w:hanging="1"/>
        <w:rPr>
          <w:rFonts w:ascii="Calibri" w:hAnsi="Calibri" w:cs="Calibri"/>
          <w:color w:val="231F20"/>
          <w:sz w:val="18"/>
          <w:szCs w:val="18"/>
        </w:rPr>
      </w:pPr>
      <w:r>
        <w:rPr>
          <w:rFonts w:ascii="Calibri" w:hAnsi="Calibri" w:cs="Calibri"/>
          <w:color w:val="231F20"/>
          <w:sz w:val="18"/>
          <w:szCs w:val="18"/>
        </w:rPr>
        <w:t xml:space="preserve">Information contained in this bulletin may not reflect provisions of legislation in the following jurisdictions (please contact the jurisdiction for further information): </w:t>
      </w:r>
      <w:r>
        <w:rPr>
          <w:rFonts w:ascii="Calibri" w:hAnsi="Calibri" w:cs="Calibri"/>
          <w:color w:val="231F20"/>
          <w:sz w:val="18"/>
          <w:szCs w:val="18"/>
          <w:u w:val="single"/>
        </w:rPr>
        <w:t>New South Wales.</w:t>
      </w:r>
    </w:p>
    <w:sectPr w:rsidR="00275E39" w:rsidSect="001B44BC">
      <w:type w:val="continuous"/>
      <w:pgSz w:w="11910" w:h="16840"/>
      <w:pgMar w:top="900" w:right="1680" w:bottom="280" w:left="0" w:header="720" w:footer="720" w:gutter="0"/>
      <w:cols w:space="720" w:equalWidth="0">
        <w:col w:w="10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B556" w14:textId="77777777" w:rsidR="00DE1F2F" w:rsidRDefault="00DE1F2F" w:rsidP="00DE1F2F">
      <w:r>
        <w:separator/>
      </w:r>
    </w:p>
  </w:endnote>
  <w:endnote w:type="continuationSeparator" w:id="0">
    <w:p w14:paraId="17722493" w14:textId="77777777" w:rsidR="00DE1F2F" w:rsidRDefault="00DE1F2F" w:rsidP="00DE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421E" w14:textId="77777777" w:rsidR="00DE1F2F" w:rsidRDefault="00DE1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54DF" w14:textId="77777777" w:rsidR="00DE1F2F" w:rsidRDefault="00DE1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3799" w14:textId="77777777" w:rsidR="00DE1F2F" w:rsidRDefault="00DE1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8013" w14:textId="77777777" w:rsidR="00DE1F2F" w:rsidRDefault="00DE1F2F" w:rsidP="00DE1F2F">
      <w:r>
        <w:separator/>
      </w:r>
    </w:p>
  </w:footnote>
  <w:footnote w:type="continuationSeparator" w:id="0">
    <w:p w14:paraId="6D81535F" w14:textId="77777777" w:rsidR="00DE1F2F" w:rsidRDefault="00DE1F2F" w:rsidP="00DE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3710" w14:textId="73360089" w:rsidR="00DE1F2F" w:rsidRDefault="0030204A">
    <w:pPr>
      <w:pStyle w:val="Header"/>
    </w:pPr>
    <w:r>
      <w:rPr>
        <w:noProof/>
      </w:rPr>
      <w:pict w14:anchorId="0D0E2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64454" o:spid="_x0000_s2050" type="#_x0000_t136" style="position:absolute;margin-left:0;margin-top:0;width:472.5pt;height:54pt;rotation:315;z-index:-251655168;mso-position-horizontal:center;mso-position-horizontal-relative:margin;mso-position-vertical:center;mso-position-vertical-relative:margin" o:allowincell="f" fillcolor="#747070 [1614]" stroked="f">
          <v:textpath style="font-family:&quot;Arial&quot;;font-size:48pt" string="Revoked 5 June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CD42" w14:textId="27603D80" w:rsidR="00DE1F2F" w:rsidRDefault="0030204A">
    <w:pPr>
      <w:pStyle w:val="Header"/>
    </w:pPr>
    <w:r>
      <w:rPr>
        <w:noProof/>
      </w:rPr>
      <w:pict w14:anchorId="7B8E9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64455" o:spid="_x0000_s2051" type="#_x0000_t136" style="position:absolute;margin-left:0;margin-top:0;width:472.5pt;height:54pt;rotation:315;z-index:-251653120;mso-position-horizontal:center;mso-position-horizontal-relative:margin;mso-position-vertical:center;mso-position-vertical-relative:margin" o:allowincell="f" fillcolor="#747070 [1614]" stroked="f">
          <v:textpath style="font-family:&quot;Arial&quot;;font-size:48pt" string="Revoked 5 June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24DE" w14:textId="3924C7EC" w:rsidR="00DE1F2F" w:rsidRDefault="0030204A">
    <w:pPr>
      <w:pStyle w:val="Header"/>
    </w:pPr>
    <w:r>
      <w:rPr>
        <w:noProof/>
      </w:rPr>
      <w:pict w14:anchorId="6E61C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64453" o:spid="_x0000_s2049" type="#_x0000_t136" style="position:absolute;margin-left:0;margin-top:0;width:472.5pt;height:54pt;rotation:315;z-index:-251657216;mso-position-horizontal:center;mso-position-horizontal-relative:margin;mso-position-vertical:center;mso-position-vertical-relative:margin" o:allowincell="f" fillcolor="#747070 [1614]" stroked="f">
          <v:textpath style="font-family:&quot;Arial&quot;;font-size:48pt" string="Revoked 5 June 202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70764"/>
    <w:rsid w:val="001B44BC"/>
    <w:rsid w:val="00275E39"/>
    <w:rsid w:val="0030204A"/>
    <w:rsid w:val="00C70764"/>
    <w:rsid w:val="00DE1F2F"/>
    <w:rsid w:val="00F52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46BCC4"/>
  <w15:docId w15:val="{4627849A-F3BB-4C7D-9B81-34636A25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B44BC"/>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1B44BC"/>
    <w:pPr>
      <w:spacing w:line="252" w:lineRule="exact"/>
      <w:ind w:right="119"/>
      <w:jc w:val="right"/>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44BC"/>
    <w:rPr>
      <w:sz w:val="22"/>
      <w:szCs w:val="22"/>
    </w:rPr>
  </w:style>
  <w:style w:type="character" w:customStyle="1" w:styleId="BodyTextChar">
    <w:name w:val="Body Text Char"/>
    <w:link w:val="BodyText"/>
    <w:rsid w:val="001B44BC"/>
    <w:rPr>
      <w:rFonts w:ascii="Arial" w:hAnsi="Arial" w:cs="Arial"/>
      <w:kern w:val="0"/>
      <w:sz w:val="24"/>
      <w:szCs w:val="24"/>
    </w:rPr>
  </w:style>
  <w:style w:type="character" w:customStyle="1" w:styleId="Heading1Char">
    <w:name w:val="Heading 1 Char"/>
    <w:link w:val="Heading1"/>
    <w:rsid w:val="001B44BC"/>
    <w:rPr>
      <w:rFonts w:ascii="Calibri Light" w:eastAsia="Times New Roman" w:hAnsi="Calibri Light" w:cs="Times New Roman"/>
      <w:b/>
      <w:bCs/>
      <w:kern w:val="32"/>
      <w:sz w:val="32"/>
      <w:szCs w:val="32"/>
    </w:rPr>
  </w:style>
  <w:style w:type="paragraph" w:styleId="ListParagraph">
    <w:name w:val="List Paragraph"/>
    <w:basedOn w:val="Normal"/>
    <w:qFormat/>
    <w:rsid w:val="001B44BC"/>
    <w:rPr>
      <w:rFonts w:ascii="Times New Roman" w:hAnsi="Times New Roman" w:cs="Times New Roman"/>
    </w:rPr>
  </w:style>
  <w:style w:type="paragraph" w:customStyle="1" w:styleId="TableParagraph">
    <w:name w:val="Table Paragraph"/>
    <w:basedOn w:val="Normal"/>
    <w:rsid w:val="001B44BC"/>
    <w:rPr>
      <w:rFonts w:ascii="Times New Roman" w:hAnsi="Times New Roman" w:cs="Times New Roman"/>
    </w:rPr>
  </w:style>
  <w:style w:type="paragraph" w:styleId="Header">
    <w:name w:val="header"/>
    <w:basedOn w:val="Normal"/>
    <w:link w:val="HeaderChar"/>
    <w:rsid w:val="00DE1F2F"/>
    <w:pPr>
      <w:tabs>
        <w:tab w:val="center" w:pos="4513"/>
        <w:tab w:val="right" w:pos="9026"/>
      </w:tabs>
    </w:pPr>
  </w:style>
  <w:style w:type="character" w:customStyle="1" w:styleId="HeaderChar">
    <w:name w:val="Header Char"/>
    <w:basedOn w:val="DefaultParagraphFont"/>
    <w:link w:val="Header"/>
    <w:rsid w:val="00DE1F2F"/>
    <w:rPr>
      <w:rFonts w:ascii="Arial" w:hAnsi="Arial" w:cs="Arial"/>
      <w:sz w:val="24"/>
      <w:szCs w:val="24"/>
    </w:rPr>
  </w:style>
  <w:style w:type="paragraph" w:styleId="Footer">
    <w:name w:val="footer"/>
    <w:basedOn w:val="Normal"/>
    <w:link w:val="FooterChar"/>
    <w:rsid w:val="00DE1F2F"/>
    <w:pPr>
      <w:tabs>
        <w:tab w:val="center" w:pos="4513"/>
        <w:tab w:val="right" w:pos="9026"/>
      </w:tabs>
    </w:pPr>
  </w:style>
  <w:style w:type="character" w:customStyle="1" w:styleId="FooterChar">
    <w:name w:val="Footer Char"/>
    <w:basedOn w:val="DefaultParagraphFont"/>
    <w:link w:val="Footer"/>
    <w:rsid w:val="00DE1F2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tooleg</dc:creator>
  <cp:keywords/>
  <dc:description/>
  <cp:lastModifiedBy>Heidi Shand</cp:lastModifiedBy>
  <cp:revision>3</cp:revision>
  <dcterms:created xsi:type="dcterms:W3CDTF">2024-06-06T05:22:00Z</dcterms:created>
  <dcterms:modified xsi:type="dcterms:W3CDTF">2024-06-06T05:30:00Z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